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4C36DC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51FE4">
        <w:rPr>
          <w:rFonts w:ascii="Arial" w:hAnsi="Arial" w:cs="Arial"/>
          <w:b/>
          <w:sz w:val="22"/>
          <w:szCs w:val="22"/>
        </w:rPr>
        <w:t>3304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CDF5E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81C01">
        <w:rPr>
          <w:rFonts w:ascii="Arial" w:hAnsi="Arial" w:cs="Arial"/>
          <w:b/>
          <w:bCs/>
          <w:lang w:val="en-US"/>
        </w:rPr>
        <w:t>Nokia</w:t>
      </w:r>
    </w:p>
    <w:p w14:paraId="65CE4E4B" w14:textId="7E2A84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81C01">
        <w:rPr>
          <w:rFonts w:ascii="Arial" w:hAnsi="Arial" w:cs="Arial"/>
          <w:b/>
          <w:bCs/>
          <w:lang w:val="en-US"/>
        </w:rPr>
        <w:t>Security area Authentication Key Agreement and Authorization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85A0B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1C01">
        <w:rPr>
          <w:rFonts w:ascii="Arial" w:hAnsi="Arial" w:cs="Arial"/>
          <w:b/>
          <w:bCs/>
          <w:lang w:val="en-US"/>
        </w:rPr>
        <w:t>5.3.1</w:t>
      </w:r>
    </w:p>
    <w:p w14:paraId="369E83CA" w14:textId="4F6D5E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681C01">
        <w:rPr>
          <w:rFonts w:ascii="Arial" w:hAnsi="Arial" w:cs="Arial"/>
          <w:b/>
          <w:bCs/>
          <w:lang w:val="en-US"/>
        </w:rPr>
        <w:t xml:space="preserve"> </w:t>
      </w:r>
      <w:r w:rsidR="00681C01" w:rsidRPr="00681C01">
        <w:rPr>
          <w:rFonts w:ascii="Arial" w:hAnsi="Arial" w:cs="Arial"/>
          <w:b/>
          <w:bCs/>
          <w:lang w:val="en-US"/>
        </w:rPr>
        <w:t>TR 33.801-01</w:t>
      </w:r>
    </w:p>
    <w:p w14:paraId="31E23587" w14:textId="77777777" w:rsidR="00681C01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81C01" w:rsidRPr="00681C01">
        <w:rPr>
          <w:rFonts w:ascii="Arial" w:hAnsi="Arial" w:cs="Arial"/>
          <w:b/>
          <w:bCs/>
          <w:lang w:val="en-US"/>
        </w:rPr>
        <w:t xml:space="preserve">V0.1.0 </w:t>
      </w:r>
    </w:p>
    <w:p w14:paraId="09C0AB02" w14:textId="3D4408A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51FE4" w:rsidRPr="00551FE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9115964" w:rsidR="00C93D83" w:rsidRDefault="00681C01">
      <w:pPr>
        <w:pBdr>
          <w:bottom w:val="single" w:sz="12" w:space="1" w:color="auto"/>
        </w:pBdr>
        <w:rPr>
          <w:lang w:val="en-US"/>
        </w:rPr>
      </w:pPr>
      <w:r w:rsidRPr="00681C01">
        <w:rPr>
          <w:lang w:val="en-US"/>
        </w:rPr>
        <w:t>This contribution proposes a new security area, Authentication key Agreement and Authorization in the 6G Security TR 33.801-01.</w:t>
      </w:r>
    </w:p>
    <w:p w14:paraId="5BFABA6B" w14:textId="760DEFF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0633744"/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43B8539D" w14:textId="77777777" w:rsidR="00681C01" w:rsidRPr="004D3578" w:rsidRDefault="00681C01" w:rsidP="00681C01">
      <w:pPr>
        <w:pStyle w:val="Heading1"/>
      </w:pPr>
      <w:bookmarkStart w:id="1" w:name="_Toc209957928"/>
      <w:bookmarkEnd w:id="0"/>
      <w:r w:rsidRPr="004D3578">
        <w:t>4</w:t>
      </w:r>
      <w:r w:rsidRPr="004D3578">
        <w:tab/>
      </w:r>
      <w:r>
        <w:t>Security areas and high level security requirements</w:t>
      </w:r>
      <w:bookmarkEnd w:id="1"/>
    </w:p>
    <w:p w14:paraId="079170A7" w14:textId="6FDCBAC9" w:rsidR="00681C01" w:rsidRDefault="00681C01" w:rsidP="00681C01">
      <w:pPr>
        <w:pStyle w:val="Heading2"/>
      </w:pPr>
      <w:bookmarkStart w:id="2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  <w:bookmarkStart w:id="3" w:name="_Hlk210571221"/>
    </w:p>
    <w:bookmarkEnd w:id="3"/>
    <w:p w14:paraId="719B5A1B" w14:textId="77777777" w:rsidR="00681C01" w:rsidRDefault="00681C01" w:rsidP="00681C01">
      <w:pPr>
        <w:pStyle w:val="B1"/>
        <w:ind w:left="284" w:firstLine="0"/>
      </w:pPr>
      <w:r w:rsidRPr="00F75693">
        <w:rPr>
          <w:highlight w:val="yellow"/>
        </w:rPr>
        <w:t>X)</w:t>
      </w:r>
      <w:r>
        <w:t xml:space="preserve"> </w:t>
      </w:r>
      <w:bookmarkStart w:id="4" w:name="_Hlk210571792"/>
      <w:r w:rsidRPr="00733246">
        <w:t xml:space="preserve">Authentication, Key Agreement and </w:t>
      </w:r>
      <w:r>
        <w:t>A</w:t>
      </w:r>
      <w:r w:rsidRPr="00733246">
        <w:t>uthorization</w:t>
      </w:r>
      <w:bookmarkEnd w:id="4"/>
      <w:r>
        <w:t xml:space="preserve">: This security area will study the key issues relating to primary authentication, key agreement and authorization. In addition, secondary authentication and re-authentication is also studied under this security area.   </w:t>
      </w:r>
    </w:p>
    <w:p w14:paraId="46F43472" w14:textId="26EC0103" w:rsidR="00CF4101" w:rsidRDefault="00CF4101" w:rsidP="00CF4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1CC672B" w14:textId="77777777" w:rsidR="00CF4101" w:rsidRDefault="00CF4101" w:rsidP="00681C01">
      <w:pPr>
        <w:pStyle w:val="B1"/>
        <w:ind w:left="284" w:firstLine="0"/>
      </w:pPr>
    </w:p>
    <w:p w14:paraId="5B7FC20D" w14:textId="46EFA85A" w:rsidR="00CF4101" w:rsidRPr="00CF4101" w:rsidRDefault="00CF4101" w:rsidP="00CF4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116D79BB" w14:textId="77777777" w:rsidR="00CF4101" w:rsidRPr="004D3578" w:rsidRDefault="00CF4101" w:rsidP="00CF4101">
      <w:pPr>
        <w:pStyle w:val="Heading2"/>
      </w:pPr>
      <w:bookmarkStart w:id="5" w:name="_Toc209957930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5"/>
      <w:r>
        <w:rPr>
          <w:lang w:eastAsia="zh-CN"/>
        </w:rPr>
        <w:t xml:space="preserve"> </w:t>
      </w:r>
      <w:r>
        <w:t xml:space="preserve"> </w:t>
      </w:r>
    </w:p>
    <w:p w14:paraId="7F555CCA" w14:textId="1723A04B" w:rsidR="00CF4101" w:rsidRDefault="00CF4101" w:rsidP="00681C01">
      <w:pPr>
        <w:pStyle w:val="B1"/>
        <w:ind w:left="284" w:firstLine="0"/>
      </w:pPr>
      <w:r>
        <w:t xml:space="preserve">It shall be possible to authenticate the UE using its subscription credentials and device capabilities in an optimized manner </w:t>
      </w:r>
      <w:bookmarkStart w:id="6" w:name="_Hlk210633631"/>
      <w:r>
        <w:t>to authorize the UE for network access and services.</w:t>
      </w:r>
      <w:bookmarkEnd w:id="6"/>
    </w:p>
    <w:p w14:paraId="5870DC6E" w14:textId="0091633E" w:rsidR="00CF4101" w:rsidRDefault="00CF4101" w:rsidP="00681C01">
      <w:pPr>
        <w:pStyle w:val="B1"/>
        <w:ind w:left="284" w:firstLine="0"/>
      </w:pPr>
      <w:r>
        <w:t xml:space="preserve">Based on deployment scenarios and network configuration it shall be possible to perform secondary authentication of the UE </w:t>
      </w:r>
      <w:r w:rsidRPr="00CF4101">
        <w:t>to authorize the UE for network access and services.</w:t>
      </w:r>
    </w:p>
    <w:p w14:paraId="7082F1AD" w14:textId="358E169A" w:rsidR="00CF4101" w:rsidRPr="00497131" w:rsidRDefault="00CF4101" w:rsidP="00A277CE">
      <w:pPr>
        <w:pStyle w:val="B1"/>
        <w:ind w:left="284" w:firstLine="0"/>
      </w:pPr>
      <w:r>
        <w:t>It shall be possible for the network to re-authenticate the UE whenever required</w:t>
      </w:r>
      <w:r w:rsidR="00A277CE">
        <w:t xml:space="preserve"> in an optimal manner.</w:t>
      </w:r>
    </w:p>
    <w:p w14:paraId="711CF4A7" w14:textId="701B76C4" w:rsidR="00A277CE" w:rsidRDefault="00B41104" w:rsidP="00A2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277CE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681C01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836883" w14:textId="7F3EDE44" w:rsidR="00A277CE" w:rsidRDefault="00A277CE" w:rsidP="00A277CE">
      <w:pPr>
        <w:tabs>
          <w:tab w:val="left" w:pos="550"/>
        </w:tabs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ab/>
      </w:r>
    </w:p>
    <w:p w14:paraId="57A2582A" w14:textId="77777777" w:rsidR="00A277CE" w:rsidRDefault="00A277CE" w:rsidP="00A277CE">
      <w:pPr>
        <w:tabs>
          <w:tab w:val="left" w:pos="550"/>
        </w:tabs>
        <w:rPr>
          <w:rFonts w:ascii="Arial" w:hAnsi="Arial" w:cs="Arial"/>
          <w:sz w:val="28"/>
          <w:szCs w:val="28"/>
          <w:lang w:val="en-US"/>
        </w:rPr>
      </w:pPr>
    </w:p>
    <w:p w14:paraId="596C14A2" w14:textId="77777777" w:rsidR="00A277CE" w:rsidRDefault="00A277CE" w:rsidP="00A277CE">
      <w:pPr>
        <w:tabs>
          <w:tab w:val="left" w:pos="550"/>
        </w:tabs>
        <w:rPr>
          <w:rFonts w:ascii="Arial" w:hAnsi="Arial" w:cs="Arial"/>
          <w:sz w:val="28"/>
          <w:szCs w:val="28"/>
          <w:lang w:val="en-US"/>
        </w:rPr>
      </w:pPr>
    </w:p>
    <w:p w14:paraId="3656D68D" w14:textId="73D6FEF0" w:rsidR="00A277CE" w:rsidRPr="00A277CE" w:rsidRDefault="00A277CE" w:rsidP="00A2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277C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56A0124B" w14:textId="28E7B523" w:rsidR="00681C01" w:rsidRPr="00235394" w:rsidRDefault="00681C01" w:rsidP="00A277CE">
      <w:pPr>
        <w:pStyle w:val="Heading1"/>
      </w:pPr>
      <w:bookmarkStart w:id="7" w:name="_Toc448754534"/>
      <w:bookmarkStart w:id="8" w:name="_Toc209957931"/>
      <w:r>
        <w:t>5</w:t>
      </w:r>
      <w:r w:rsidRPr="00235394">
        <w:tab/>
      </w:r>
      <w:r>
        <w:t>Key issues and solutions</w:t>
      </w:r>
      <w:bookmarkEnd w:id="7"/>
      <w:bookmarkEnd w:id="8"/>
      <w:r>
        <w:t xml:space="preserve"> </w:t>
      </w:r>
    </w:p>
    <w:p w14:paraId="55EAA73A" w14:textId="77777777" w:rsidR="00681C01" w:rsidRDefault="00681C01" w:rsidP="00681C01">
      <w:pPr>
        <w:pStyle w:val="Heading2"/>
      </w:pPr>
      <w:bookmarkStart w:id="9" w:name="_Toc448754535"/>
      <w:bookmarkStart w:id="10" w:name="_Toc209957932"/>
      <w:r>
        <w:t>5.x</w:t>
      </w:r>
      <w:r w:rsidRPr="00235394">
        <w:tab/>
      </w:r>
      <w:r>
        <w:t>Security area #</w:t>
      </w:r>
      <w:r w:rsidRPr="003C1056">
        <w:rPr>
          <w:highlight w:val="yellow"/>
        </w:rPr>
        <w:t>x</w:t>
      </w:r>
      <w:r>
        <w:t xml:space="preserve">: </w:t>
      </w:r>
      <w:bookmarkEnd w:id="9"/>
      <w:bookmarkEnd w:id="10"/>
      <w:r w:rsidRPr="003C1056">
        <w:t>Authentication, Key Agreement and Authorization</w:t>
      </w:r>
    </w:p>
    <w:p w14:paraId="261E5010" w14:textId="77777777" w:rsidR="00681C01" w:rsidRDefault="00681C01" w:rsidP="00681C01">
      <w:pPr>
        <w:pStyle w:val="Heading3"/>
      </w:pPr>
      <w:bookmarkStart w:id="11" w:name="_Toc448754536"/>
      <w:bookmarkStart w:id="12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1"/>
      <w:bookmarkEnd w:id="12"/>
      <w:r>
        <w:t xml:space="preserve"> </w:t>
      </w:r>
    </w:p>
    <w:p w14:paraId="728B97EF" w14:textId="77777777" w:rsidR="00551FE4" w:rsidRDefault="00681C01" w:rsidP="00681C01">
      <w:pPr>
        <w:pStyle w:val="EditorsNote"/>
        <w:ind w:hanging="283"/>
        <w:rPr>
          <w:color w:val="auto"/>
        </w:rPr>
      </w:pPr>
      <w:r w:rsidRPr="003C1056">
        <w:rPr>
          <w:color w:val="auto"/>
        </w:rPr>
        <w:t xml:space="preserve">A successful Authentication Key Agreement and Authorization between the UE and network is the primary </w:t>
      </w:r>
      <w:r>
        <w:rPr>
          <w:color w:val="auto"/>
        </w:rPr>
        <w:t>procedure</w:t>
      </w:r>
      <w:r w:rsidRPr="003C1056">
        <w:rPr>
          <w:color w:val="auto"/>
        </w:rPr>
        <w:t xml:space="preserve"> before the UE can get any service from the network.</w:t>
      </w:r>
      <w:r>
        <w:rPr>
          <w:color w:val="auto"/>
        </w:rPr>
        <w:t xml:space="preserve"> </w:t>
      </w:r>
    </w:p>
    <w:p w14:paraId="5E3584B5" w14:textId="77777777" w:rsidR="00551FE4" w:rsidRDefault="00681C01" w:rsidP="00681C01">
      <w:pPr>
        <w:pStyle w:val="EditorsNote"/>
        <w:ind w:hanging="283"/>
        <w:rPr>
          <w:color w:val="auto"/>
        </w:rPr>
      </w:pPr>
      <w:r>
        <w:rPr>
          <w:color w:val="auto"/>
        </w:rPr>
        <w:t xml:space="preserve">In addition to the primary authentication procedure, in some cases, secondary authentication </w:t>
      </w:r>
      <w:r w:rsidR="00551FE4">
        <w:rPr>
          <w:color w:val="auto"/>
        </w:rPr>
        <w:t xml:space="preserve">is </w:t>
      </w:r>
      <w:r>
        <w:rPr>
          <w:color w:val="auto"/>
        </w:rPr>
        <w:t xml:space="preserve">also involved. While primary authentication is always between the UE and the UDM in the HPLMN, secondary authentication </w:t>
      </w:r>
      <w:r w:rsidR="00551FE4">
        <w:rPr>
          <w:color w:val="auto"/>
        </w:rPr>
        <w:t>involves</w:t>
      </w:r>
      <w:r>
        <w:rPr>
          <w:color w:val="auto"/>
        </w:rPr>
        <w:t xml:space="preserve"> an external enterprise AAA server in the case of external DNN access or a network slice specific AAA server in the case of network slices. </w:t>
      </w:r>
    </w:p>
    <w:p w14:paraId="344946BD" w14:textId="564022E2" w:rsidR="00551FE4" w:rsidRDefault="00681C01" w:rsidP="00681C01">
      <w:pPr>
        <w:pStyle w:val="EditorsNote"/>
        <w:ind w:hanging="283"/>
        <w:rPr>
          <w:color w:val="auto"/>
        </w:rPr>
      </w:pPr>
      <w:r>
        <w:rPr>
          <w:color w:val="auto"/>
        </w:rPr>
        <w:t>The network may also re-authenticate the UE at any time</w:t>
      </w:r>
      <w:r w:rsidR="00551FE4">
        <w:rPr>
          <w:color w:val="auto"/>
        </w:rPr>
        <w:t xml:space="preserve"> by triggering re-authentication.</w:t>
      </w:r>
    </w:p>
    <w:p w14:paraId="73F2302E" w14:textId="76018B48" w:rsidR="00681C01" w:rsidRPr="003C1056" w:rsidRDefault="00681C01" w:rsidP="00681C01">
      <w:pPr>
        <w:pStyle w:val="EditorsNote"/>
        <w:ind w:hanging="283"/>
        <w:rPr>
          <w:color w:val="auto"/>
        </w:rPr>
      </w:pPr>
      <w:r>
        <w:rPr>
          <w:color w:val="auto"/>
        </w:rPr>
        <w:t>Issues related to all these procedures are studied under this security area.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29211B2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51FE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A277CE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57641464" w14:textId="0481CEC2" w:rsidR="00C93D83" w:rsidRDefault="00C93D83" w:rsidP="00746793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CB8EA" w14:textId="77777777" w:rsidR="00017C88" w:rsidRDefault="00017C88">
      <w:r>
        <w:separator/>
      </w:r>
    </w:p>
  </w:endnote>
  <w:endnote w:type="continuationSeparator" w:id="0">
    <w:p w14:paraId="28666397" w14:textId="77777777" w:rsidR="00017C88" w:rsidRDefault="0001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0B7EA" w14:textId="77777777" w:rsidR="00017C88" w:rsidRDefault="00017C88">
      <w:r>
        <w:separator/>
      </w:r>
    </w:p>
  </w:footnote>
  <w:footnote w:type="continuationSeparator" w:id="0">
    <w:p w14:paraId="6A746B0D" w14:textId="77777777" w:rsidR="00017C88" w:rsidRDefault="00017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C88"/>
    <w:rsid w:val="00032590"/>
    <w:rsid w:val="00084DEB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51FE4"/>
    <w:rsid w:val="00587CB1"/>
    <w:rsid w:val="00610FC8"/>
    <w:rsid w:val="00653E2A"/>
    <w:rsid w:val="00681C01"/>
    <w:rsid w:val="0069541A"/>
    <w:rsid w:val="00746793"/>
    <w:rsid w:val="007520D0"/>
    <w:rsid w:val="007560B8"/>
    <w:rsid w:val="00780A06"/>
    <w:rsid w:val="00785301"/>
    <w:rsid w:val="00793D77"/>
    <w:rsid w:val="007F5BC5"/>
    <w:rsid w:val="0082707E"/>
    <w:rsid w:val="008B4AAF"/>
    <w:rsid w:val="009158D2"/>
    <w:rsid w:val="009255E7"/>
    <w:rsid w:val="00982BA7"/>
    <w:rsid w:val="009A21B0"/>
    <w:rsid w:val="00A277CE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0473B"/>
    <w:rsid w:val="00C56F8B"/>
    <w:rsid w:val="00C601CB"/>
    <w:rsid w:val="00C86F41"/>
    <w:rsid w:val="00C87441"/>
    <w:rsid w:val="00C93D83"/>
    <w:rsid w:val="00CC4471"/>
    <w:rsid w:val="00CF410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6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81C01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681C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Change Request</vt:lpstr>
      <vt:lpstr>Wuhan, China, 13 – 17 October 2025</vt:lpstr>
      <vt:lpstr/>
      <vt:lpstr>4	Security areas and high level security requirements</vt:lpstr>
      <vt:lpstr>    4.1	Security areas  </vt:lpstr>
      <vt:lpstr>    4.2	Potential high level security requirements  </vt:lpstr>
      <vt:lpstr>5	Key issues and solutions </vt:lpstr>
      <vt:lpstr>    5.x	Security area #x: Authentication, Key Agreement and Authorization</vt:lpstr>
      <vt:lpstr>        5.x.1	Introduction </vt:lpstr>
    </vt:vector>
  </TitlesOfParts>
  <Company>3GPP Support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SN</cp:lastModifiedBy>
  <cp:revision>5</cp:revision>
  <cp:lastPrinted>1900-01-01T05:00:00Z</cp:lastPrinted>
  <dcterms:created xsi:type="dcterms:W3CDTF">2025-10-05T20:38:00Z</dcterms:created>
  <dcterms:modified xsi:type="dcterms:W3CDTF">2025-10-06T13:08:00Z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